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both"/>
        <w:textAlignment w:val="baseline"/>
        <w:outlineLvl w:val="0"/>
        <w:rPr>
          <w:rFonts w:ascii="Times New Roman" w:hAnsi="Times New Roman" w:eastAsia="Times New Roman" w:cs="Times New Roman"/>
          <w:b/>
          <w:b/>
          <w:spacing w:val="-6"/>
          <w:kern w:val="2"/>
          <w:sz w:val="32"/>
          <w:szCs w:val="32"/>
          <w:lang w:eastAsia="ru-RU"/>
        </w:rPr>
      </w:pPr>
      <w:r>
        <w:rPr>
          <w:rFonts w:eastAsia="Times New Roman" w:cs="Times New Roman" w:ascii="Times New Roman" w:hAnsi="Times New Roman"/>
          <w:b/>
          <w:spacing w:val="-6"/>
          <w:kern w:val="2"/>
          <w:sz w:val="32"/>
          <w:szCs w:val="32"/>
          <w:lang w:eastAsia="ru-RU"/>
        </w:rPr>
        <w:t>2.7. Ответы на часто задаваемые вопросы, поступающие в адрес лицензирующего органа</w:t>
      </w:r>
    </w:p>
    <w:p>
      <w:pPr>
        <w:pStyle w:val="Normal"/>
        <w:shd w:val="clear" w:color="auto" w:fill="FFFFFF"/>
        <w:spacing w:lineRule="auto" w:line="240" w:before="0" w:after="0"/>
        <w:jc w:val="both"/>
        <w:textAlignment w:val="baseline"/>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both"/>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bCs/>
          <w:sz w:val="28"/>
          <w:szCs w:val="28"/>
          <w:lang w:eastAsia="ru-RU"/>
        </w:rPr>
        <w:t xml:space="preserve">Разъяснения </w:t>
      </w:r>
      <w:r>
        <w:rPr>
          <w:rFonts w:eastAsia="Times New Roman" w:cs="Times New Roman" w:ascii="Times New Roman" w:hAnsi="Times New Roman"/>
          <w:b/>
          <w:sz w:val="28"/>
          <w:szCs w:val="28"/>
          <w:lang w:eastAsia="ru-RU"/>
        </w:rPr>
        <w:t>по наиболее часто задаваемым вопросам в области лицензирования отдельных видов деятельности, отнесенных к компетенции МЧС России</w:t>
      </w:r>
    </w:p>
    <w:p>
      <w:pPr>
        <w:pStyle w:val="Normal"/>
        <w:spacing w:lineRule="auto" w:line="240" w:before="0" w:after="0"/>
        <w:jc w:val="both"/>
        <w:textAlignment w:val="baseline"/>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678" w:type="dxa"/>
        <w:jc w:val="left"/>
        <w:tblInd w:w="175" w:type="dxa"/>
        <w:tblCellMar>
          <w:top w:w="180" w:type="dxa"/>
          <w:left w:w="180" w:type="dxa"/>
          <w:bottom w:w="180" w:type="dxa"/>
          <w:right w:w="180" w:type="dxa"/>
        </w:tblCellMar>
        <w:tblLook w:val="04a0" w:noVBand="1" w:noHBand="0" w:lastColumn="0" w:firstColumn="1" w:lastRow="0" w:firstRow="1"/>
      </w:tblPr>
      <w:tblGrid>
        <w:gridCol w:w="1022"/>
        <w:gridCol w:w="3302"/>
        <w:gridCol w:w="5354"/>
      </w:tblGrid>
      <w:tr>
        <w:trPr/>
        <w:tc>
          <w:tcPr>
            <w:tcW w:w="1022" w:type="dxa"/>
            <w:tcBorders>
              <w:top w:val="single" w:sz="4" w:space="0" w:color="000000"/>
              <w:left w:val="single" w:sz="4" w:space="0" w:color="000000"/>
              <w:bottom w:val="single" w:sz="4" w:space="0" w:color="000000"/>
              <w:right w:val="single" w:sz="4" w:space="0" w:color="000000"/>
            </w:tcBorders>
            <w:shd w:color="auto" w:fill="F7F7F8" w:val="clear"/>
            <w:vAlign w:val="bottom"/>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 xml:space="preserve">№ </w:t>
            </w:r>
            <w:r>
              <w:rPr>
                <w:rFonts w:eastAsia="Times New Roman" w:cs="Times New Roman" w:ascii="inherit" w:hAnsi="inherit"/>
                <w:sz w:val="18"/>
                <w:szCs w:val="18"/>
                <w:lang w:eastAsia="ru-RU"/>
              </w:rPr>
              <w:t>п/п</w:t>
            </w:r>
          </w:p>
        </w:tc>
        <w:tc>
          <w:tcPr>
            <w:tcW w:w="3302" w:type="dxa"/>
            <w:tcBorders>
              <w:top w:val="single" w:sz="4" w:space="0" w:color="000000"/>
              <w:left w:val="single" w:sz="4" w:space="0" w:color="000000"/>
              <w:bottom w:val="single" w:sz="4" w:space="0" w:color="000000"/>
              <w:right w:val="single" w:sz="4" w:space="0" w:color="000000"/>
            </w:tcBorders>
            <w:shd w:color="auto" w:fill="F7F7F8" w:val="clear"/>
            <w:vAlign w:val="bottom"/>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Вопрос</w:t>
            </w:r>
          </w:p>
        </w:tc>
        <w:tc>
          <w:tcPr>
            <w:tcW w:w="5354" w:type="dxa"/>
            <w:tcBorders>
              <w:top w:val="single" w:sz="4" w:space="0" w:color="000000"/>
              <w:left w:val="single" w:sz="4" w:space="0" w:color="000000"/>
              <w:bottom w:val="single" w:sz="4" w:space="0" w:color="000000"/>
              <w:right w:val="single" w:sz="4" w:space="0" w:color="000000"/>
            </w:tcBorders>
            <w:shd w:color="auto" w:fill="F7F7F8" w:val="clear"/>
            <w:vAlign w:val="bottom"/>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Комментарии</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w:t>
            </w:r>
          </w:p>
        </w:tc>
      </w:tr>
      <w:tr>
        <w:trPr/>
        <w:tc>
          <w:tcPr>
            <w:tcW w:w="102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w:t>
            </w:r>
          </w:p>
        </w:tc>
        <w:tc>
          <w:tcPr>
            <w:tcW w:w="330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 xml:space="preserve">Что такое </w:t>
            </w:r>
            <w:bookmarkStart w:id="0" w:name="_GoBack"/>
            <w:bookmarkEnd w:id="0"/>
            <w:r>
              <w:rPr>
                <w:rFonts w:eastAsia="Times New Roman" w:cs="Times New Roman" w:ascii="inherit" w:hAnsi="inherit"/>
                <w:sz w:val="18"/>
                <w:szCs w:val="18"/>
                <w:lang w:eastAsia="ru-RU"/>
              </w:rPr>
              <w:t>лицензия?</w:t>
            </w:r>
          </w:p>
        </w:tc>
        <w:tc>
          <w:tcPr>
            <w:tcW w:w="5354"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3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На какой срок предоставляется лицензия?</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Лицензия действует бессрочно.</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9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w:t>
            </w:r>
          </w:p>
        </w:tc>
        <w:tc>
          <w:tcPr>
            <w:tcW w:w="330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Когда и в каких размерах должна уплачиваться государственная пошлина за рассмотрение документов соискателя лицензии?</w:t>
            </w:r>
          </w:p>
        </w:tc>
        <w:tc>
          <w:tcPr>
            <w:tcW w:w="5354"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За предоставление государственной услуги уплачивается государственная пошлина в следующих размерах:</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предоставление лицензии - 7500 рублей;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переоформление лицензии в других случаях - 750 рублей;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предоставление выписки из реестра лицензий в форме электронного документа и на бумажном носителе - безвозмездно;</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За предоставление государственной услуги иная плата не взимается.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(пункт 92 части 1 статьи 333.33 Налогового кодекса Российской Федерации).</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4.</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какой срок лицензирующий орган обязан уведомить соискателя лицензии о предоставлении или об отказе в предоставлении лицензии?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 xml:space="preserve">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14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5.</w:t>
            </w:r>
          </w:p>
        </w:tc>
        <w:tc>
          <w:tcPr>
            <w:tcW w:w="3302"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 какого момента юридическое лицо (индивидуальный предприниматель) может осуществлять свою деятельность?</w:t>
            </w:r>
          </w:p>
        </w:tc>
        <w:tc>
          <w:tcPr>
            <w:tcW w:w="5354" w:type="dxa"/>
            <w:tcBorders>
              <w:top w:val="single" w:sz="4" w:space="0" w:color="000000"/>
              <w:left w:val="single" w:sz="4" w:space="0" w:color="000000"/>
              <w:bottom w:val="single" w:sz="4" w:space="0" w:color="000000"/>
              <w:right w:val="single" w:sz="4" w:space="0" w:color="000000"/>
            </w:tcBorders>
            <w:shd w:color="auto" w:fill="F7F7F8"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Normal"/>
              <w:spacing w:lineRule="auto" w:line="240" w:before="0" w:after="0"/>
              <w:jc w:val="both"/>
              <w:rPr>
                <w:rFonts w:ascii="inherit" w:hAnsi="inherit" w:cs="inherit"/>
                <w:sz w:val="18"/>
                <w:szCs w:val="18"/>
              </w:rPr>
            </w:pPr>
            <w:r>
              <w:rPr>
                <w:rFonts w:cs="inherit" w:ascii="inherit" w:hAnsi="inherit"/>
                <w:sz w:val="18"/>
                <w:szCs w:val="18"/>
              </w:rPr>
              <w:t>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9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6.</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каких случаях необходимо внести изменения в реестр лицензий?</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Внесение изменений в реестр лицензий осуществляется в следующих случаях:</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4) изменение имени, фамилии и (в случае, если имеется) отчества индивидуального предпринимателя;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5) изменение места жительства индивидуального предпринимателя;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6) изменение реквизитов документа, удостоверяющего личность индивидуального предпринимателя;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7) изменение номера телефона, адреса электронной почты лицензиата;</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8) изменение мест осуществления лицензируемого вида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9) изменение перечня выполняемых работ, оказываемых услуг, составляющих лицензируемый вид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11) иные случаи, предусмотренные Федеральным законом от 4 мая 2011 г. № 99-ФЗ.</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Сведения, предусмотренные пунктами 1 - 6,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Сведения, предусмотренные пунктом 7,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Сведения, предусмотренные пунктами 8 и 9,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jc w:val="both"/>
              <w:rPr>
                <w:rFonts w:ascii="inherit" w:hAnsi="inherit" w:cs="inherit"/>
                <w:sz w:val="18"/>
                <w:szCs w:val="18"/>
              </w:rPr>
            </w:pPr>
            <w:r>
              <w:rPr>
                <w:rFonts w:cs="inherit" w:ascii="inherit" w:hAnsi="inherit"/>
                <w:sz w:val="18"/>
                <w:szCs w:val="18"/>
              </w:rPr>
              <w:t>До внесения изменений в реестр лицензий на основании заявления лицензиата о внесении изменений в реестр лицензий, лицензиат вправе осуществлять лицензируемый вид деятельности, за исключением следующих случаев:</w:t>
            </w:r>
          </w:p>
          <w:p>
            <w:pPr>
              <w:pStyle w:val="Normal"/>
              <w:spacing w:lineRule="auto" w:line="240" w:before="0" w:after="0"/>
              <w:ind w:firstLine="540"/>
              <w:jc w:val="both"/>
              <w:rPr>
                <w:rFonts w:ascii="inherit" w:hAnsi="inherit" w:cs="inherit"/>
                <w:sz w:val="18"/>
                <w:szCs w:val="18"/>
              </w:rPr>
            </w:pPr>
            <w:r>
              <w:rPr>
                <w:rFonts w:cs="inherit" w:ascii="inherit" w:hAnsi="inherit"/>
                <w:sz w:val="18"/>
                <w:szCs w:val="18"/>
              </w:rPr>
              <w:t>1) осуществление лицензируемого вида деятельности по месту, не указанному в реестре лицензий;</w:t>
            </w:r>
          </w:p>
          <w:p>
            <w:pPr>
              <w:pStyle w:val="Normal"/>
              <w:spacing w:lineRule="auto" w:line="240" w:before="0" w:after="0"/>
              <w:ind w:firstLine="540"/>
              <w:jc w:val="both"/>
              <w:rPr>
                <w:rFonts w:ascii="inherit" w:hAnsi="inherit" w:cs="inherit"/>
                <w:sz w:val="18"/>
                <w:szCs w:val="18"/>
              </w:rPr>
            </w:pPr>
            <w:r>
              <w:rPr>
                <w:rFonts w:cs="inherit" w:ascii="inherit" w:hAnsi="inherit"/>
                <w:sz w:val="18"/>
                <w:szCs w:val="18"/>
              </w:rP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pPr>
              <w:pStyle w:val="Normal"/>
              <w:spacing w:lineRule="auto" w:line="240" w:before="0" w:after="0"/>
              <w:ind w:firstLine="540"/>
              <w:jc w:val="both"/>
              <w:rPr>
                <w:rFonts w:ascii="inherit" w:hAnsi="inherit" w:cs="inherit"/>
                <w:sz w:val="18"/>
                <w:szCs w:val="18"/>
              </w:rPr>
            </w:pPr>
            <w:r>
              <w:rPr>
                <w:rFonts w:cs="inherit" w:ascii="inherit" w:hAnsi="inherit"/>
                <w:sz w:val="18"/>
                <w:szCs w:val="18"/>
              </w:rPr>
              <w:t>3) выполнение работ, оказание услуг, составляющих лицензируемый вид деятельности, но не указанных в реестре лицензий.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 xml:space="preserve">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частью 1 статьи 13 Федерального закона от 4 мая 2011 г. № 99-ФЗ, и данные документа, подтверждающего факт внесения соответствующих изменений в единый государственный реестр юридических лиц.</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реестр лицензий вносятся изменения в порядке, предусмотренном частью 3 или 4 статьи 13 Федерального закона от 4 мая 2011 г. № 99-ФЗ,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статьи 13 Федерального закона от 4 мая 2011 г. № 99-ФЗ,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w:t>
            </w:r>
          </w:p>
          <w:p>
            <w:pPr>
              <w:pStyle w:val="Normal"/>
              <w:spacing w:lineRule="auto" w:line="240" w:before="0" w:after="0"/>
              <w:jc w:val="both"/>
              <w:rPr>
                <w:rFonts w:ascii="inherit" w:hAnsi="inherit" w:cs="inherit"/>
                <w:sz w:val="18"/>
                <w:szCs w:val="18"/>
              </w:rPr>
            </w:pPr>
            <w:r>
              <w:rPr>
                <w:rFonts w:cs="inherit" w:ascii="inherit" w:hAnsi="inherit"/>
                <w:sz w:val="18"/>
                <w:szCs w:val="18"/>
              </w:rPr>
              <w:t>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pPr>
              <w:pStyle w:val="Normal"/>
              <w:spacing w:lineRule="auto" w:line="240" w:before="0" w:after="0"/>
              <w:jc w:val="both"/>
              <w:rPr>
                <w:rFonts w:ascii="inherit" w:hAnsi="inherit" w:cs="inherit"/>
                <w:sz w:val="18"/>
                <w:szCs w:val="18"/>
              </w:rPr>
            </w:pPr>
            <w:r>
              <w:rPr>
                <w:rFonts w:cs="inherit" w:ascii="inherit" w:hAnsi="inherit"/>
                <w:sz w:val="18"/>
                <w:szCs w:val="18"/>
              </w:rP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pPr>
              <w:pStyle w:val="Normal"/>
              <w:spacing w:lineRule="auto" w:line="240" w:before="0" w:after="0"/>
              <w:textAlignment w:val="baseline"/>
              <w:rPr>
                <w:rFonts w:ascii="inherit" w:hAnsi="inherit" w:eastAsia="Times New Roman" w:cs="Times New Roman"/>
                <w:sz w:val="18"/>
                <w:szCs w:val="18"/>
                <w:lang w:eastAsia="ru-RU"/>
              </w:rPr>
            </w:pPr>
            <w:bookmarkStart w:id="1" w:name="Par0"/>
            <w:bookmarkEnd w:id="1"/>
            <w:r>
              <w:rPr>
                <w:rFonts w:eastAsia="Times New Roman" w:cs="Times New Roman" w:ascii="inherit" w:hAnsi="inherit"/>
                <w:sz w:val="18"/>
                <w:szCs w:val="18"/>
                <w:lang w:eastAsia="ru-RU"/>
              </w:rPr>
              <w:t>(Статья 18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7.</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Кто может осуществлять деятельность, на которую предоставляется лицензия?</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8.</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Каким образом осуществляется оценка соблюдения соискателем лицензии, лицензиатом лицензионных требований?</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Оценка соблюдения соискателем лицензии, лицензиатом лицензионных требований проводится в форме:</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оценки соответствия соискателя лицензии, лицензиата лицензионным требованиям, проводимой в соответствии со статьей 19.1 Федерального закона от 4 мая 2011 г. № 99-ФЗ;</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 от 4 мая 2011 г. № 99-ФЗ;</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 периодического подтверждения соответствия лицензиата лицензионным требованиям, проводимого в соответствии со статьей 19.3 Федерального закона от 4 мая 2011 г. № 99-ФЗ.</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Лицензирующий орган проводит оценку соответствия лицензионным требованиям в отношении: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соискателя лицензии, представившего в соответствии со статьей 13 Федерального закона от 4 мая 2011 г. № 99-ФЗ в лицензирующий орган заявление о предоставлении лицензии;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 лицензиата, представившего в соответствии со статьей 18 Федерального закона от 4 мая 2011 г. № 99-ФЗ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 лицензиата, представившего в соответствии со статьей 18 Федерального закона от 4 мая 2011 г. № 99-ФЗ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Оценка соответствия соискателя лицензии или лицензиата лицензионным требованиям проводится в форме документарной оценки и (или) выездной оценки.</w:t>
            </w:r>
            <w:r>
              <w:rPr/>
              <w:t xml:space="preserve"> </w:t>
            </w:r>
            <w:r>
              <w:rPr>
                <w:rFonts w:eastAsia="Times New Roman" w:cs="Times New Roman" w:ascii="inherit" w:hAnsi="inherit"/>
                <w:sz w:val="18"/>
                <w:szCs w:val="18"/>
                <w:lang w:eastAsia="ru-RU"/>
              </w:rPr>
              <w:t>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Обеспечение соблюдения лицензиатом лицензионных требований осуществляется посредством проведения профилактических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отношении лицензиатов, осуществляющих лицензируемый вид деятельности, плановые контрольные (надзорные) мероприятия в части соблюдения лицензионных требований не проводятся.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19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9.</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pacing w:lineRule="auto" w:line="240" w:before="0" w:after="0"/>
              <w:jc w:val="both"/>
              <w:outlineLvl w:val="0"/>
              <w:rPr>
                <w:rFonts w:ascii="inherit" w:hAnsi="inherit" w:cs="inherit"/>
                <w:bCs/>
                <w:sz w:val="18"/>
                <w:szCs w:val="18"/>
              </w:rPr>
            </w:pPr>
            <w:r>
              <w:rPr>
                <w:rFonts w:cs="inherit" w:ascii="inherit" w:hAnsi="inherit"/>
                <w:bCs/>
                <w:sz w:val="18"/>
                <w:szCs w:val="18"/>
              </w:rPr>
              <w:t>В какие сроки необходимо проходить периодическое подтверждение соответствия лицензиата лицензионным требованиям?</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со ст. 24.3. Федерального закона от 21.12.1994 №69-ФЗ «О пожарной безопасности» 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законом от 4 мая 2011 года N 99-ФЗ "О лицензировании отдельных видов деятельности", каждые три года со дня предоставления лицензии.</w:t>
            </w:r>
          </w:p>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со ст. 3  Федерального закона от 11.06.2021 №168-ФЗ «О внесении изменений в Федеральный закон «О пожарной безопасности» и статьи 1 и 22 Федерального закона «О лицензировании отдельных видов деятельности» положения статьи 24.3 Федерального закона от 21 декабря 1994 года N 69-ФЗ "О пожарной безопасности" применяются в отношении лицензиатов, осуществляющих деятельность по тушению пожаров в населенных пунктах, на производственных объектах и объектах инфраструктуры и (или) деятельность по монтажу, техническому обслуживанию и ремонту средств обеспечения пожарной безопасности зданий и сооружений, с учетом следующих особенностей:</w:t>
            </w:r>
          </w:p>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лицензиаты, которым лицензии предоставлены до 1 января 2012 года, должны представить в лицензирующий орган информацию, предусмотренную частью четвертой статьи 24.3 Федерального закона от 21 декабря 1994 года N 69-ФЗ "О пожарной безопасности", в течение первого года со дня вступления в силу настоящего Федерального закона (т. е., до 08.12.2022 г.);</w:t>
            </w:r>
          </w:p>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 лицензиаты, которым лицензии предоставлены в период с 1 января 2012 года по 31 декабря 2015 года включительно, должны представить в лицензирующий орган информацию, предусмотренную частью четвертой статьи 24.3 Федерального закона от 21 декабря 1994 года N 69-ФЗ "О пожарной безопасности", в течение второго года со дня вступления в силу настоящего Федерального закона (т. е., до 08.12.2023 г.);</w:t>
            </w:r>
          </w:p>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 лицензиаты, которым лицензии предоставлены начиная с 1 января 2016 года, должны представить в лицензирующий орган информацию, предусмотренную частью четвертой статьи 24.3 Федерального закона от 21 декабря 1994 года N 69-ФЗ "О пожарной безопасности", в течение третьего года со дня вступления в силу настоящего Федерального закона в случае, если в течение этого года или ранее истекло три года и более с даты выдачи лицензии (т. е., до 08.12.2024 г.).</w:t>
            </w:r>
          </w:p>
          <w:p>
            <w:pPr>
              <w:pStyle w:val="Normal"/>
              <w:numPr>
                <w:ilvl w:val="0"/>
                <w:numId w:val="0"/>
              </w:numPr>
              <w:spacing w:lineRule="auto" w:line="240" w:before="0" w:after="0"/>
              <w:jc w:val="both"/>
              <w:outlineLvl w:val="0"/>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Отзыв лицензиатом заявления о периодическом подтверждении соответствия лицензионным требованиям не допускается.</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10.</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Порядок уведомления лицензиатом лицензирующий орган о выполняемых работах, оказываемых услугах, составляющих лицензируемый вид деятельности.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со ст. 24.3. Федерального закона от 21.12.1994 №69-ФЗ «О пожарной безопасности» 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 пунктом 51(1)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(в редакции Постановления Правительства РФ от 30.11.2021 №2107) и пунктом 50(1)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 июля 2020 г. № 1131 «Об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 (в редакции Постановления Правительства РФ от 30.11.2021 №2107) лицензиат обязан не позднее 5 рабочих дней с момента подписания договора (контракта) на выполнение работ (оказание услуг), а при отсутствии такого договора (контракта) - до начала их фактического осуществления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Также лицензиат обязан в течение 5 рабочих дней с момента окончания выполнения работ (оказания услуг) уведомить об этом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лицензирующий орган.</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11.</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отношении кого проводятся обязательные профилактические визиты лицензирующим органом и порядок его проведения?</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со статьей 52 Федерального закона от 31.07.2020 N 248-ФЗ «О государственном контроле (надзоре) и муниципальном контроле в Российской Федерации»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 п. 51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(в редакции Постановлений Правительства РФ от 20.07.2021 №1223, от 30.11.2021 №2107) и пунктом 50(1)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 июля 2020 г. № 1131 «Об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 (в редакции Постановления Правительства РФ от 30.11.2021 №2107) обязательный профилактический визит проводится не позднее чем в течение одного года с момента предоставления лицензии и (или) внесения изменений в реестр лицензий в форме профилактической беседы по месту осуществления деятельности контролируемого лица.</w:t>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Срок проведения обязательного профилактического визита не может превышать один рабочий день. В ходе обязательного профилактического визита контролируемое лицо информируется о требованиях, предъявляемых к лицензиату. По результатам обязательного профилактического визита в течение 5 рабочих дней со дня проведения должностным лицом, оформляется и вручается под роспись лицензиату (направляется в установленном порядке) экземпляр листа профилактической беседы, содержащий указанную информацию.</w:t>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spacing w:lineRule="auto" w:line="240" w:before="0" w:after="0"/>
              <w:jc w:val="both"/>
              <w:rPr>
                <w:rFonts w:ascii="inherit" w:hAnsi="inherit" w:eastAsia="Times New Roman" w:cs="Times New Roman"/>
                <w:sz w:val="18"/>
                <w:szCs w:val="18"/>
                <w:lang w:eastAsia="ru-RU"/>
              </w:rPr>
            </w:pPr>
            <w:r>
              <w:rPr>
                <w:rFonts w:eastAsia="Times New Roman" w:cs="Times New Roman" w:ascii="inherit" w:hAnsi="inherit"/>
                <w:sz w:val="18"/>
                <w:szCs w:val="18"/>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12.</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какие сроки лицензирующий орган принимает решение о предоставлении или об отказе в предоставлении лицензии?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срок, не превышающий 15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Пункт 12(1)</w:t>
            </w:r>
            <w:r>
              <w:rPr/>
              <w:t xml:space="preserve"> </w:t>
            </w:r>
            <w:r>
              <w:rPr>
                <w:rFonts w:eastAsia="Times New Roman" w:cs="Times New Roman" w:ascii="inherit" w:hAnsi="inherit"/>
                <w:sz w:val="18"/>
                <w:szCs w:val="18"/>
                <w:lang w:eastAsia="ru-RU"/>
              </w:rPr>
              <w:t>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(в редакции Постановлений Правительства РФ от 20.07.2021 №1223, от 30.11.2021 №2107).</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13.</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Что такое адрес места осуществления лицензируемого вида деятельности?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3 Федерального закона от 4 мая 2011 г. № 99-ФЗ).</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 соответствии со ст. 24.3. Федерального закона от 21.12.1994 №69-ФЗ «О пожарной безопасности» в качестве места осуществления лицензируемого вида деятельности юридического лица указывается адрес места его нахождения и (или) его филиала.</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14.</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Что является основанием отказа в предоставлении лицензии?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Основанием отказа в предоставлении лицензии является:</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2) установленное в ходе оценки несоответствие соискателя лицензии лицензионным требованиям;</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3)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14 Федерального закона от 4 мая 2011 г. № 99-ФЗ)</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15.</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Документы необходимые для получения лицензии в области пожарной безопасности?</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firstLine="540"/>
              <w:jc w:val="both"/>
              <w:rPr>
                <w:rFonts w:ascii="inherit" w:hAnsi="inherit" w:cs="inherit"/>
                <w:b/>
                <w:b/>
                <w:bCs/>
                <w:sz w:val="18"/>
                <w:szCs w:val="18"/>
              </w:rPr>
            </w:pPr>
            <w:r>
              <w:rPr>
                <w:rFonts w:eastAsia="Times New Roman" w:cs="Times New Roman" w:ascii="inherit" w:hAnsi="inherit"/>
                <w:sz w:val="18"/>
                <w:szCs w:val="18"/>
                <w:lang w:eastAsia="ru-RU"/>
              </w:rPr>
              <w:t>В соответствии с п. 6(1)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(в редакции Постановлений Правительства РФ от 20.07.2021 №1223, от 30.11.2021 №2107) и пунктом 5(1)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 июля 2020 г. № 1131 «Об утверждении Положения о лицензировании деятельности по тушению пожаров в населенных пунктах, на производственных объектах и объектах инфраструктуры» (в редакции Постановления Правительства РФ от 30.11.2021 №2107) з</w:t>
            </w:r>
            <w:r>
              <w:rPr>
                <w:rFonts w:cs="inherit" w:ascii="inherit" w:hAnsi="inherit"/>
                <w:b/>
                <w:bCs/>
                <w:sz w:val="18"/>
                <w:szCs w:val="18"/>
              </w:rPr>
              <w:t>аявление о предоставлении лицензии (внесении изменений в реестр лицензий) и прилагаемые к нему документы, соискатель лицензии (лицензиат) подает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pPr>
              <w:pStyle w:val="Normal"/>
              <w:spacing w:lineRule="auto" w:line="240" w:before="0" w:after="0"/>
              <w:jc w:val="both"/>
              <w:textAlignment w:val="baseline"/>
              <w:rPr>
                <w:rFonts w:ascii="inherit" w:hAnsi="inherit" w:eastAsia="Times New Roman" w:cs="Times New Roman"/>
                <w:b/>
                <w:b/>
                <w:bCs/>
                <w:sz w:val="18"/>
                <w:szCs w:val="18"/>
                <w:lang w:eastAsia="ru-RU"/>
              </w:rPr>
            </w:pPr>
            <w:r>
              <w:rPr>
                <w:rFonts w:eastAsia="Times New Roman" w:cs="Times New Roman" w:ascii="inherit" w:hAnsi="inherit"/>
                <w:b/>
                <w:bCs/>
                <w:sz w:val="18"/>
                <w:szCs w:val="18"/>
                <w:lang w:eastAsia="ru-RU"/>
              </w:rPr>
            </w:r>
          </w:p>
          <w:p>
            <w:pPr>
              <w:pStyle w:val="Normal"/>
              <w:spacing w:lineRule="auto" w:line="240" w:before="0" w:after="0"/>
              <w:jc w:val="both"/>
              <w:textAlignment w:val="baseline"/>
              <w:rPr>
                <w:rFonts w:ascii="inherit" w:hAnsi="inherit" w:eastAsia="Times New Roman" w:cs="Times New Roman"/>
                <w:b/>
                <w:b/>
                <w:bCs/>
                <w:sz w:val="18"/>
                <w:szCs w:val="18"/>
                <w:lang w:eastAsia="ru-RU"/>
              </w:rPr>
            </w:pPr>
            <w:r>
              <w:rPr>
                <w:rFonts w:eastAsia="Times New Roman" w:cs="Times New Roman" w:ascii="inherit" w:hAnsi="inherit"/>
                <w:b/>
                <w:bCs/>
                <w:sz w:val="18"/>
                <w:szCs w:val="18"/>
                <w:lang w:eastAsia="ru-RU"/>
              </w:rPr>
              <w:t>Перечень документов необходимых для получения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Положением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РФ от 28.07.2020 №1128 (далее - Положения):</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 xml:space="preserve">заявление о предоставлении лицензии; </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у работников, указанных в подпункте "в" пункта 4 Положения, необходимого образования и соответствующей квалификации;</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стаж работы работников, указанных в подпункте "в" пункта 4 Положения, или заверенных в установленном порядке выписок из указанных документов;</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у соискателя лицензии зданий (сооружений, помещений), указанных в подпункте "а" пункта 4 Положения. В качестве места осуществления лицензируемого вида деятельности юридического лица указывается адрес места его нахождения и (или) его филиала;</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у соискателя лицензии оборудования, инструментов, технических средств, в том числе средств измерений, указанных в подпункте "б" пункта 4 Положения;</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сведений о результатах поверки средств измерений в Федеральном информационном фонде по обеспечению единства измерений или результатов поверки средств измерений, выполненных до 24 сентября 2020 г., которые должны быть удостоверены знаком поверки, и (или) свидетельством о поверке, и (или) записью в паспорте (формуляре) средств измерений, заверенной подписью поверителя и знаком поверки;</w:t>
            </w:r>
          </w:p>
          <w:p>
            <w:pPr>
              <w:pStyle w:val="ListParagraph"/>
              <w:numPr>
                <w:ilvl w:val="0"/>
                <w:numId w:val="1"/>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прохождение работниками обучения, указанного в подпункте "г" пункта 4 настоящего Положения.</w:t>
            </w:r>
          </w:p>
          <w:p>
            <w:pPr>
              <w:pStyle w:val="Normal"/>
              <w:spacing w:lineRule="auto" w:line="240" w:before="0" w:after="0"/>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r>
          </w:p>
          <w:p>
            <w:pPr>
              <w:pStyle w:val="Normal"/>
              <w:spacing w:lineRule="auto" w:line="240" w:before="0" w:after="0"/>
              <w:jc w:val="both"/>
              <w:textAlignment w:val="baseline"/>
              <w:rPr>
                <w:rFonts w:ascii="inherit" w:hAnsi="inherit" w:eastAsia="Times New Roman" w:cs="Times New Roman"/>
                <w:b/>
                <w:b/>
                <w:bCs/>
                <w:sz w:val="18"/>
                <w:szCs w:val="18"/>
                <w:lang w:eastAsia="ru-RU"/>
              </w:rPr>
            </w:pPr>
            <w:r>
              <w:rPr>
                <w:rFonts w:eastAsia="Times New Roman" w:cs="Times New Roman" w:ascii="inherit" w:hAnsi="inherit"/>
                <w:b/>
                <w:bCs/>
                <w:sz w:val="18"/>
                <w:szCs w:val="18"/>
                <w:lang w:eastAsia="ru-RU"/>
              </w:rPr>
              <w:t>Перечень документов необходимых для получения лицензии на осуществление деятельности</w:t>
              <w:tab/>
              <w:t>по тушению пожаров в населенных пунктах, на производственных объектах и объектах инфраструктуры в соответствии с Положением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РФ от 28.07.2020 №1131 (далее - Положения):</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 xml:space="preserve">заявление о предоставлении лицензии; </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получение работниками, осуществляющими лицензируемый вид деятельности, необходимого образования и (или) квалификации;</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или заверенные в установленном порядке выписки из документов, подтверждающих стаж работы работников, осуществляющих лицензируемый вид деятельности;</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недвижимости (если такие права зарегистрированы в указанном реестре, - сведения об этих зданиях, помещениях и сооружениях);</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а также технической документации на указанные средства, вещества и оборудование;</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копии документов, подтверждающих отсутствие у работников медицинских противопоказаний для исполнения должностных обязанностей;</w:t>
            </w:r>
          </w:p>
          <w:p>
            <w:pPr>
              <w:pStyle w:val="ListParagraph"/>
              <w:numPr>
                <w:ilvl w:val="0"/>
                <w:numId w:val="2"/>
              </w:numPr>
              <w:spacing w:lineRule="auto" w:line="240" w:before="0" w:after="0"/>
              <w:ind w:left="212" w:hanging="141"/>
              <w:contextualSpacing/>
              <w:jc w:val="both"/>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опись прилагаемых документов.</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16</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Что влечет осуществление деятельности без специального разрешения (лицензии), если такое разрешение (такая лицензия) обязательно (обязательна)?</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pPr>
              <w:pStyle w:val="Normal"/>
              <w:spacing w:lineRule="auto" w:line="240" w:before="0" w:after="0"/>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t>(ч.2 ст.14.1 КоАП РФ)</w:t>
            </w:r>
          </w:p>
          <w:p>
            <w:pPr>
              <w:pStyle w:val="Normal"/>
              <w:spacing w:lineRule="auto" w:line="240" w:before="0" w:after="0"/>
              <w:textAlignment w:val="baseline"/>
              <w:rPr>
                <w:rFonts w:ascii="inherit" w:hAnsi="inherit" w:eastAsia="Times New Roman" w:cs="Times New Roman"/>
                <w:bCs/>
                <w:sz w:val="18"/>
                <w:szCs w:val="18"/>
                <w:lang w:eastAsia="ru-RU"/>
              </w:rPr>
            </w:pPr>
            <w:r>
              <w:rPr>
                <w:rFonts w:eastAsia="Times New Roman" w:cs="Times New Roman" w:ascii="inherit" w:hAnsi="inherit"/>
                <w:bCs/>
                <w:sz w:val="18"/>
                <w:szCs w:val="18"/>
                <w:lang w:eastAsia="ru-RU"/>
              </w:rPr>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bCs/>
                <w:sz w:val="18"/>
                <w:szCs w:val="18"/>
                <w:lang w:eastAsia="ru-RU"/>
              </w:rPr>
              <w:t>(ч.1 ст. 19.20 КоАП РФ)</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 за исключением случаев, предусмотренных статьей 171.3 настоящего Кодекса, -</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pPr>
              <w:pStyle w:val="Normal"/>
              <w:spacing w:lineRule="auto" w:line="240" w:before="0" w:after="0"/>
              <w:textAlignment w:val="baseline"/>
              <w:rPr>
                <w:rFonts w:ascii="inherit" w:hAnsi="inherit" w:eastAsia="Times New Roman" w:cs="Times New Roman"/>
                <w:sz w:val="18"/>
                <w:szCs w:val="18"/>
                <w:u w:val="single"/>
                <w:lang w:eastAsia="ru-RU"/>
              </w:rPr>
            </w:pPr>
            <w:r>
              <w:rPr>
                <w:rFonts w:eastAsia="Times New Roman" w:cs="Times New Roman" w:ascii="inherit" w:hAnsi="inherit"/>
                <w:sz w:val="18"/>
                <w:szCs w:val="18"/>
                <w:u w:val="single"/>
                <w:lang w:eastAsia="ru-RU"/>
              </w:rPr>
              <w:t>То же деяние:</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а) совершенное организованной группой;</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б) сопряженное с извлечением дохода в особо крупном размере,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bCs/>
                <w:sz w:val="18"/>
                <w:szCs w:val="18"/>
                <w:lang w:eastAsia="ru-RU"/>
              </w:rPr>
              <w:t>(ст. 171УК РФ)</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17.</w:t>
            </w:r>
          </w:p>
        </w:tc>
        <w:tc>
          <w:tcPr>
            <w:tcW w:w="33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Может ли деятельность, на которую предоставлена лицензия федеральным органом исполнительной власти осуществляться на всей территории РФ?</w:t>
            </w:r>
          </w:p>
        </w:tc>
        <w:tc>
          <w:tcPr>
            <w:tcW w:w="5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pPr>
              <w:pStyle w:val="Normal"/>
              <w:spacing w:lineRule="auto" w:line="240" w:before="0" w:after="0"/>
              <w:textAlignment w:val="baseline"/>
              <w:rPr>
                <w:rFonts w:ascii="inherit" w:hAnsi="inherit" w:eastAsia="Times New Roman" w:cs="Times New Roman"/>
                <w:sz w:val="18"/>
                <w:szCs w:val="18"/>
                <w:lang w:eastAsia="ru-RU"/>
              </w:rPr>
            </w:pPr>
            <w:r>
              <w:rPr>
                <w:rFonts w:eastAsia="Times New Roman" w:cs="Times New Roman" w:ascii="inherit" w:hAnsi="inherit"/>
                <w:sz w:val="18"/>
                <w:szCs w:val="18"/>
                <w:lang w:eastAsia="ru-RU"/>
              </w:rPr>
              <w:t>(Статья 9 Федерального закона от 4 мая 2011 г. № 99-ФЗ).</w:t>
            </w:r>
          </w:p>
        </w:tc>
      </w:tr>
    </w:tbl>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inherit">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4409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4409c"/>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a4409c"/>
    <w:rPr>
      <w:b/>
      <w:bCs/>
    </w:rPr>
  </w:style>
  <w:style w:type="paragraph" w:styleId="Style13">
    <w:name w:val="Заголовок"/>
    <w:basedOn w:val="Normal"/>
    <w:next w:val="Style14"/>
    <w:qFormat/>
    <w:pPr>
      <w:keepNext w:val="true"/>
      <w:spacing w:before="240" w:after="120"/>
    </w:pPr>
    <w:rPr>
      <w:rFonts w:ascii="PT Astra Serif" w:hAnsi="PT Astra Serif"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Astra Serif" w:hAnsi="PT Astra Serif" w:cs="Noto Sans Devanagari"/>
    </w:rPr>
  </w:style>
  <w:style w:type="paragraph" w:styleId="Style16">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a4409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6f1be0"/>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LibreOffice/6.4.4.2$Linux_X86_64 LibreOffice_project/40$Build-2</Application>
  <Pages>14</Pages>
  <Words>4539</Words>
  <Characters>32088</Characters>
  <CharactersWithSpaces>36605</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2021-01-21T07:38:00Z</dcterms:created>
  <dc:creator>Инженер 1гпн</dc:creator>
  <dc:description/>
  <dc:language>ru-RU</dc:language>
  <cp:lastModifiedBy/>
  <dcterms:modified xsi:type="dcterms:W3CDTF">2024-04-19T14:41:08Z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